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Lo Stato come investitore per il benessere collettivo</w:t>
      </w:r>
    </w:p>
    <w:p>
      <w:pPr>
        <w:pStyle w:val="Subtitle"/>
      </w:pPr>
      <w:r>
        <w:t>Capitolo programmatico Synedrion</w:t>
      </w:r>
    </w:p>
    <w:p>
      <w:pPr>
        <w:pStyle w:val="Dateline"/>
      </w:pPr>
      <w:r>
        <w:t>7 novembre 2026</w:t>
      </w:r>
    </w:p>
    <w:p>
      <w:pPr/>
      <w:r>
        <w:t>Synedrion propone di ricostruire la capacità dello Stato di orientare lo sviluppo, finanziare investimenti di lungo periodo e assicurare infrastrutture e servizi essenziali a costi accessibili. La scelta riguarda la capacità democratica di governare la trasformazione economica e il costo che famiglie, imprese e contribuenti devono sostenerne.</w:t>
      </w:r>
    </w:p>
    <w:p>
      <w:pPr/>
      <w:r>
        <w:t>Quando un servizio essenziale viene finanziato e posseduto da investitori privati, i suoi ricavi devono normalmente remunerare il capitale secondo le condizioni richieste da quegli investitori. Lo Stato può invece finanziare un investimento anche quando non produce un utile monetario, se i benefici per la collettività ne giustificano i costi. Questa possibilità è decisiva per abitazioni pubbliche, prevenzione ambientale, trasporto collettivo e altre attività il cui valore supera gli incassi del gestore.</w:t>
      </w:r>
    </w:p>
    <w:p>
      <w:pPr/>
      <w:r>
        <w:rPr>
          <w:b/>
        </w:rPr>
        <w:t>Il principio proposto è assegnare agli investimenti essenziali la forma di finanziamento, proprietà e gestione che produce il maggior benessere collettivo nel tempo, entro limiti ecologici e con coperture sostenibili.</w:t>
      </w:r>
      <w:r>
        <w:t xml:space="preserve"> Il capitale pubblico deve essere una possibilità effettivamente praticabile. Ogni scelta deve rendere visibili il costo complessivo, i rischi, gli effetti distributivi e i risultati attesi.</w:t>
      </w:r>
    </w:p>
    <w:p>
      <w:pPr>
        <w:pStyle w:val="Heading1"/>
      </w:pPr>
      <w:r>
        <w:t>Una base comune per le proposte Synedrion</w:t>
      </w:r>
    </w:p>
    <w:p>
      <w:pPr/>
      <w:r>
        <w:t xml:space="preserve">Questo capitolo sviluppa i principi di Stato capace e valore pubblico del </w:t>
      </w:r>
      <w:hyperlink r:id="rId10">
        <w:r>
          <w:rPr>
            <w:color w:val="24496A"/>
          </w:rPr>
          <w:t>Manifesto</w:t>
        </w:r>
      </w:hyperlink>
      <w:r>
        <w:t xml:space="preserve"> e li collega al metodo delle missioni. La proposta aggiunge un criterio trasversale: valutare quanto la remunerazione del capitale incida sul costo dei servizi e se il finanziamento pubblico possa ottenere risultati migliori.</w:t>
      </w:r>
    </w:p>
    <w:p>
      <w:pPr/>
      <w:r>
        <w:t xml:space="preserve">Il programma esistente offre già applicazioni concrete: edilizia abitativa pubblica, Banca delle Missioni, capitale paziente, condizionalità degli incentivi e missioni per le imprese partecipate. L’integrazione proposta rende esplicito il motivo economico che le collega. La quantità di capitale privato mobilitato resta un indicatore utile, ma deve essere accompagnata dal costo finale del servizio, dal rischio assunto dal bilancio pubblico e dai benefici effettivi per i cittadini. </w:t>
      </w:r>
      <w:hyperlink r:id="rId11">
        <w:r>
          <w:rPr>
            <w:color w:val="24496A"/>
          </w:rPr>
          <w:t>Metodo Synedrion</w:t>
        </w:r>
      </w:hyperlink>
      <w:r>
        <w:t>.</w:t>
      </w:r>
    </w:p>
    <w:p>
      <w:pPr>
        <w:pStyle w:val="Heading2"/>
      </w:pPr>
      <w:r>
        <w:t>La trasformazione del ruolo pubblico</w:t>
      </w:r>
    </w:p>
    <w:p>
      <w:pPr/>
      <w:r>
        <w:t xml:space="preserve">Dagli anni Ottanta molte economie occidentali hanno privatizzato imprese, aperto settori alla concorrenza e sostituito parte della produzione pubblica con regolazione, concessioni e contratti. Zohlnhöfer, Engler e Dümig documentano il ridimensionamento dell’intervento in varie dimensioni e passano in rassegna 130 studi quantitativi. È una base per descrivere una trasformazione del ruolo economico pubblico; non dimostra che la stessa traiettoria abbia riguardato ogni paese e ogni settore. </w:t>
      </w:r>
      <w:hyperlink r:id="rId12">
        <w:r>
          <w:rPr>
            <w:color w:val="24496A"/>
          </w:rPr>
          <w:t>Zohlnhöfer e colleghi 2018</w:t>
        </w:r>
      </w:hyperlink>
      <w:r>
        <w:t>.</w:t>
      </w:r>
    </w:p>
    <w:p>
      <w:pPr/>
      <w:r>
        <w:t>La dimensione del bilancio pubblico, da sola, non misura questa trasformazione. Uno Stato può spendere molto in pensioni, trasferimenti e acquisti, conservando una capacità limitata di progettare infrastrutture, dirigere investimenti o produrre servizi. Per valutare la capacità di orientare l’economia bisogna osservare anche patrimonio, competenze tecniche, strumenti finanziari, poteri contrattuali e continuità degli investimenti.</w:t>
      </w:r>
    </w:p>
    <w:p>
      <w:pPr/>
      <w:r>
        <w:t>Le conseguenze dipendono dalle istituzioni costruite durante il cambiamento. Una concessione ben regolata può assicurare investimenti e qualità; un contratto incompleto può rendere costoso modificare il servizio quando cambiano i bisogni. La perdita di competenze interne può inoltre indebolire la capacità pubblica di scegliere, contrattare e controllare. Sono problemi da verificare settore per settore, senza dedurli automaticamente da un cambiamento proprietario.</w:t>
      </w:r>
    </w:p>
    <w:p>
      <w:pPr/>
      <w:r>
        <w:t>Synedrion propone una capacità pubblica adatta a una democrazia europea: controllo parlamentare, autonomie territoriali, regolatori indipendenti e partecipazione civica. Il riferimento a paesi nei quali lo Stato dispone di maggiori strumenti economici serve a interrogarsi sulla capacità di direzione; non basta a dimostrare la superiorità del loro sistema istituzionale.</w:t>
      </w:r>
    </w:p>
    <w:p>
      <w:pPr>
        <w:pStyle w:val="Heading1"/>
      </w:pPr>
      <w:r>
        <w:t>Come il costo del capitale incide sulla vita quotidiana</w:t>
      </w:r>
    </w:p>
    <w:p>
      <w:pPr/>
      <w:r>
        <w:t>Un’abitazione, una rete elettrica o una ferrovia richiedono risorse iniziali e producono servizi per molti anni. Chi finanzia l’investimento deve stabilire come recuperare quelle risorse e quale remunerazione attendersi. Il finanziamento privato combina generalmente debito e capitale proprio: il rendimento richiesto dagli azionisti non coincide con il costo medio del progetto.</w:t>
      </w:r>
    </w:p>
    <w:p>
      <w:pPr/>
      <w:r>
        <w:t>Se il fabbisogno finanziario cresce senza corrispondenti miglioramenti del servizio, qualcuno deve sostenerlo. Le possibilità sono canoni e tariffe più elevati, maggiori pagamenti pubblici, riduzione delle prestazioni oppure rinuncia all’investimento. Un sussidio può abbassare il prezzo pagato dall’utente, ma il suo costo rimane a carico della collettività.</w:t>
      </w:r>
    </w:p>
    <w:p>
      <w:pPr/>
      <w:r>
        <w:t>La questione è particolarmente rilevante quando una parte importante del valore prodotto non genera ricavi per il gestore. Un alloggio accessibile può favorire la continuità degli studi o consentire a un lavoratore di vivere vicino all’impiego. Un’opera di prevenzione può evitare danni futuri senza riscuotere un pedaggio. Se questi benefici rimangono esterni al bilancio dell’investitore, la redditività privata può essere insufficiente anche quando l’investimento è socialmente desiderabile.</w:t>
      </w:r>
    </w:p>
    <w:p>
      <w:pPr/>
      <w:r>
        <w:t>Occorre distinguere due problemi. Il primo è il costo finanziario: interessi, remunerazione del capitale proprio, commissioni e altri oneri. Il secondo è il potere di mercato: un monopolista può ottenere ricavi superiori a quelli necessari a finanziare efficientemente il servizio. La proprietà pubblica e la regolazione possono affrontare questi problemi con strumenti diversi; una semplice sostituzione del proprietario non li risolve entrambi.</w:t>
      </w:r>
    </w:p>
    <w:p>
      <w:pPr/>
      <w:r>
        <w:t>Per la contabilità del benessere, inoltre, un pagamento da una famiglia a un investitore residente è anche un trasferimento di reddito. Non costituisce automaticamente una perdita netta di pari importo per l’intera economia. Il danno collettivo può derivare dall’esclusione dal servizio, dalla minore produzione, dalle distorsioni dei sussidi o dalla distribuzione del reddito. La sua dimensione va stimata. Questa distinzione permette di sostenere la critica senza identificare ogni profitto con uno spreco.</w:t>
      </w:r>
    </w:p>
    <w:p>
      <w:pPr/>
      <w:r>
        <w:t xml:space="preserve">La conclusione proposta da Synedrion è quindi condizionata ma sostanziale: </w:t>
      </w:r>
      <w:r>
        <w:rPr>
          <w:b/>
        </w:rPr>
        <w:t>quando il maggior onere del capitale privato non compra efficienza, innovazione o una migliore gestione dei rischi, la collettività può pagare di più per ottenere lo stesso servizio.</w:t>
      </w:r>
      <w:r>
        <w:t xml:space="preserve"> Nei servizi essenziali questo confronto deve precedere la decisione di finanziamento.</w:t>
      </w:r>
    </w:p>
    <w:p>
      <w:pPr>
        <w:pStyle w:val="Heading1"/>
      </w:pPr>
      <w:r>
        <w:t>Rendimento finanziario e valore sociale</w:t>
      </w:r>
    </w:p>
    <w:p>
      <w:pPr/>
      <w:r>
        <w:t>Tre grandezze devono essere tenute separate. Il costo di finanziamento indica quanto paga chi raccoglie i fondi. Il rendimento finanziario misura gli incassi e gli esborsi dell’investitore. Il valore sociale comprende anche effetti su salute, accesso ai servizi, ambiente, opportunità e distribuzione dei benefici.</w:t>
      </w:r>
    </w:p>
    <w:p>
      <w:pPr/>
      <w:r>
        <w:t>Lo Stato può scegliere un investimento senza pretendere un utile finanziario sul capitale pubblico. Può anche erogare un contributo non rimborsabile, sostenendo quindi un rendimento finanziario negativo per il bilancio, se il valore sociale lo giustifica. Devono comunque essere finanziati costruzione, personale, manutenzione, interessi e rinnovo del patrimonio. La quota non coperta dagli utenti deve avere una copertura esplicita.</w:t>
      </w:r>
    </w:p>
    <w:p>
      <w:pPr/>
      <w:r>
        <w:t xml:space="preserve">Il riconoscimento delle esternalità cambia la valutazione dei benefici dell’investimento; non riduce automaticamente il tasso al quale lo Stato si finanzia. Allo stesso modo, rinunciare a un dividendo pubblico non significa applicare un tasso di attualizzazione sociale pari a zero. Quest’ultimo serve a confrontare costi e benefici distribuiti nel tempo e richiede una scelta motivata, con analisi di sensibilità. Arrow e colleghi esaminano le ragioni per tassi sociali decrescenti sugli orizzonti lunghi, senza giustificare un azzeramento universale del tasso. </w:t>
      </w:r>
      <w:hyperlink r:id="rId13">
        <w:r>
          <w:rPr>
            <w:color w:val="24496A"/>
          </w:rPr>
          <w:t>Arrow e colleghi 2014</w:t>
        </w:r>
      </w:hyperlink>
      <w:r>
        <w:t>.</w:t>
      </w:r>
    </w:p>
    <w:p>
      <w:pPr/>
      <w:r>
        <w:t xml:space="preserve">Anche il rischio richiede una valutazione autonoma. Arrow e Lind mostrano che, sotto determinate ipotesi, la distribuzione di un rischio su molti soggetti può ridurne il costo. Baumstark e Gollier chiariscono perché questo risultato non consenta di ignorare i rischi correlati all’andamento dell’intera economia. Indebitarsi pubblicamente può trasferire rischi ai contribuenti senza eliminarli. </w:t>
      </w:r>
      <w:hyperlink r:id="rId14">
        <w:r>
          <w:rPr>
            <w:color w:val="24496A"/>
          </w:rPr>
          <w:t>Arrow e Lind 1970</w:t>
        </w:r>
      </w:hyperlink>
      <w:r>
        <w:t xml:space="preserve">; </w:t>
      </w:r>
      <w:hyperlink r:id="rId15">
        <w:r>
          <w:rPr>
            <w:color w:val="24496A"/>
          </w:rPr>
          <w:t>Baumstark e Gollier 2014</w:t>
        </w:r>
      </w:hyperlink>
      <w:r>
        <w:t>.</w:t>
      </w:r>
    </w:p>
    <w:p>
      <w:pPr/>
      <w:r>
        <w:t>Per Synedrion il criterio è il beneficio sociale aggiuntivo rispetto alle alternative, accompagnato da sostenibilità finanziaria e capacità di realizzazione. I progetti devono essere confrontati usando lo stesso metodo di valutazione sociale, attribuendo separatamente a ciascuna soluzione i suoi costi finanziari e i rischi effettivi.</w:t>
      </w:r>
    </w:p>
    <w:p>
      <w:pPr>
        <w:pStyle w:val="Heading1"/>
      </w:pPr>
      <w:r>
        <w:t>Che cosa sostiene la letteratura</w:t>
      </w:r>
    </w:p>
    <w:p>
      <w:pPr>
        <w:pStyle w:val="Heading2"/>
      </w:pPr>
      <w:r>
        <w:t>Un riscontro diretto nelle politiche abitative</w:t>
      </w:r>
    </w:p>
    <w:p>
      <w:pPr/>
      <w:r>
        <w:t xml:space="preserve">Lawson e colleghi confrontano cinque percorsi di investimento nell’edilizia sociale australiana. Il modello che combina contributi iniziali e finanziamento efficiente risulta meno costoso per il settore pubblico del ricorso a debito privato sostenuto da sussidi operativi. Nel confronto riportato da AHURI, il risparmio modellato raggiunge il 24% sul costo lungo la vita del primo anno di costruzioni. È una simulazione riferita a istituzioni e ipotesi australiane, non una misura dei risparmi ottenibili in Italia. </w:t>
      </w:r>
      <w:hyperlink r:id="rId16">
        <w:r>
          <w:rPr>
            <w:color w:val="24496A"/>
          </w:rPr>
          <w:t>Lawson e colleghi 2018</w:t>
        </w:r>
      </w:hyperlink>
      <w:r>
        <w:t>.</w:t>
      </w:r>
    </w:p>
    <w:p>
      <w:pPr/>
      <w:r>
        <w:t xml:space="preserve">Un successivo articolo su Housing Studies sviluppa il tema della finanza orientata alla missione abitativa e degli oneri del finanziamento ripagato durante la gestione. La pubblicazione in fascicolo è del 2024, dopo la prima pubblicazione online nel 2022. I due lavori appartengono allo stesso filone di ricerca e non costituiscono due verifiche indipendenti del medesimo effetto. </w:t>
      </w:r>
      <w:hyperlink r:id="rId17">
        <w:r>
          <w:rPr>
            <w:color w:val="24496A"/>
          </w:rPr>
          <w:t>Lawson, Troy e van den Nouwelant 2024</w:t>
        </w:r>
      </w:hyperlink>
      <w:r>
        <w:t>.</w:t>
      </w:r>
    </w:p>
    <w:p>
      <w:pPr>
        <w:pStyle w:val="Heading2"/>
      </w:pPr>
      <w:r>
        <w:t>Infrastrutture e partenariati</w:t>
      </w:r>
    </w:p>
    <w:p>
      <w:pPr/>
      <w:r>
        <w:t xml:space="preserve">Il National Audit Office britannico documenta nel 2018 costi del capitale dei progetti PFI e PF2 superiori al finanziamento statale e difficoltà nel dimostrare i benefici compensativi. Per un gruppo di scuole esaminato, stima costi monetari cumulati di circa il 40% superiori al confronto finanziato pubblicamente. Il risultato riguarda quel confronto e non misura un danno generale di tutti i partenariati. </w:t>
      </w:r>
      <w:hyperlink r:id="rId18">
        <w:r>
          <w:rPr>
            <w:color w:val="24496A"/>
          </w:rPr>
          <w:t>National Audit Office 2018</w:t>
        </w:r>
      </w:hyperlink>
      <w:r>
        <w:t>.</w:t>
      </w:r>
    </w:p>
    <w:p>
      <w:pPr/>
      <w:r>
        <w:t xml:space="preserve">Engel, Fischer e Galetovic mostrano che un partenariato non crea risorse pubbliche gratuite: il minore esborso iniziale può corrispondere alla rinuncia a ricavi futuri. Gli stessi autori spiegano però che un costo del capitale più alto può essere compatibile con vantaggi di efficienza in un contratto ben progettato. Questo è un limite preciso alla tesi secondo cui il solo differenziale finanziario deciderebbe la scelta. </w:t>
      </w:r>
      <w:hyperlink r:id="rId19">
        <w:r>
          <w:rPr>
            <w:color w:val="24496A"/>
          </w:rPr>
          <w:t>Engel e colleghi 2013</w:t>
        </w:r>
      </w:hyperlink>
      <w:r>
        <w:t xml:space="preserve">; </w:t>
      </w:r>
      <w:hyperlink r:id="rId20">
        <w:r>
          <w:rPr>
            <w:color w:val="24496A"/>
          </w:rPr>
          <w:t>Engel e colleghi 2010</w:t>
        </w:r>
      </w:hyperlink>
      <w:r>
        <w:t>.</w:t>
      </w:r>
    </w:p>
    <w:p>
      <w:pPr/>
      <w:r>
        <w:t xml:space="preserve">Il Green Book britannico aggiornato nell’ottobre 2026 richiede che i benefici della finanza privata siano valutati rispetto al suo maggior costo e che il confronto includa una soluzione pubblica equivalente per qualità e manutenzione. Offre un precedente operativo per la regola di confronto proposta da Synedrion. </w:t>
      </w:r>
      <w:hyperlink r:id="rId21">
        <w:r>
          <w:rPr>
            <w:color w:val="24496A"/>
          </w:rPr>
          <w:t>HM Treasury 2026</w:t>
        </w:r>
      </w:hyperlink>
      <w:r>
        <w:t>.</w:t>
      </w:r>
    </w:p>
    <w:p>
      <w:pPr>
        <w:pStyle w:val="Heading2"/>
      </w:pPr>
      <w:r>
        <w:t>Efficienza e qualità richiedono verifiche settoriali</w:t>
      </w:r>
    </w:p>
    <w:p>
      <w:pPr/>
      <w:r>
        <w:t xml:space="preserve">La metanalisi di Bel, Fageda e Warner non trova un vantaggio sistematico di costo della produzione privata nei servizi idrici e nella raccolta dei rifiuti esaminati. Non dimostra una superiorità generale del pubblico: invita a considerare concorrenza, caratteristiche del servizio e costi contrattuali. </w:t>
      </w:r>
      <w:hyperlink r:id="rId22">
        <w:r>
          <w:rPr>
            <w:color w:val="24496A"/>
          </w:rPr>
          <w:t>Bel e colleghi 2010</w:t>
        </w:r>
      </w:hyperlink>
      <w:r>
        <w:t>.</w:t>
      </w:r>
    </w:p>
    <w:p>
      <w:pPr/>
      <w:r>
        <w:t xml:space="preserve">Hart, Shleifer e Vishny mostrano teoricamente che incentivi privati forti a ridurre i costi possono danneggiare aspetti della qualità difficili da specificare nei contratti. Il modello riguarda le condizioni della scelta, non una stima empirica per tutti i servizi. </w:t>
      </w:r>
      <w:hyperlink r:id="rId23">
        <w:r>
          <w:rPr>
            <w:color w:val="24496A"/>
          </w:rPr>
          <w:t>Hart e colleghi 1997</w:t>
        </w:r>
      </w:hyperlink>
      <w:r>
        <w:t>.</w:t>
      </w:r>
    </w:p>
    <w:p>
      <w:pPr/>
      <w:r>
        <w:t xml:space="preserve">Va considerata anche l’evidenza favorevole alla privatizzazione. La rassegna di Megginson e Netter trova in molti contesti miglioramenti nell’efficienza e nella situazione finanziaria delle imprese privatizzate. La performance aziendale non coincide con l’intera valutazione del benessere, ma questi risultati impediscono di assumere che il maggior rendimento richiesto renda sempre preferibile la proprietà pubblica. </w:t>
      </w:r>
      <w:hyperlink r:id="rId24">
        <w:r>
          <w:rPr>
            <w:color w:val="24496A"/>
          </w:rPr>
          <w:t>Megginson e Netter 2001</w:t>
        </w:r>
      </w:hyperlink>
      <w:r>
        <w:t>.</w:t>
      </w:r>
    </w:p>
    <w:p>
      <w:pPr/>
      <w:r>
        <w:t>La letteratura sostiene quindi una tesi circoscritta: per attività con benefici sociali non remunerati, forti investimenti iniziali o qualità difficilmente contrattualizzabile, la finanza e la proprietà pubbliche possono produrre vantaggi rilevanti. Non stabilisce una penalizzazione uniforme dell’intera economia dovuta alla proprietà privata, né una percentuale di risparmio trasferibile da un paese all’altro.</w:t>
      </w:r>
    </w:p>
    <w:p>
      <w:pPr>
        <w:pStyle w:val="Heading1"/>
      </w:pPr>
      <w:r>
        <w:t>La casa come primo banco di prova</w:t>
      </w:r>
    </w:p>
    <w:p>
      <w:pPr/>
      <w:r>
        <w:t xml:space="preserve">Synedrion propone già abitazioni e studentati di proprietà e gestione pubbliche, escludendo investitori immobiliari privati che ricavino profitti dai canoni del programma. Le imprese possono realizzare le opere attraverso appalti trasparenti. I traguardi indicati sono 100.000 alloggi e 30.000 posti letto in cinque anni dall’avvio, con costi e capacità attuativa da verificare. Il sito precisa che il modello è più restrittivo di quello viennese. Questo capitolo ne sviluppa la motivazione economica e i criteri di verifica. </w:t>
      </w:r>
      <w:hyperlink r:id="rId25">
        <w:r>
          <w:rPr>
            <w:color w:val="24496A"/>
          </w:rPr>
          <w:t>Casa e politiche abitative</w:t>
        </w:r>
      </w:hyperlink>
      <w:r>
        <w:t>.</w:t>
      </w:r>
    </w:p>
    <w:p>
      <w:pPr/>
      <w:r>
        <w:t>L’appaltatore deve ricevere una remunerazione adeguata per costruire bene e rispettare i tempi. Il rapporto termina secondo il contratto, senza attribuirgli per questo un diritto permanente sui canoni. L’investimento pubblico conserva così il patrimonio e può fissare gli affitti secondo il reddito degli assegnatari, finanziando esplicitamente la differenza rispetto ai costi.</w:t>
      </w:r>
    </w:p>
    <w:p>
      <w:pPr>
        <w:pStyle w:val="Heading2"/>
      </w:pPr>
      <w:r>
        <w:t>Un esempio del peso degli oneri finanziari</w:t>
      </w:r>
    </w:p>
    <w:p>
      <w:pPr/>
      <w:r>
        <w:t>Consideriamo un investimento iniziale ipotetico di 200.000 euro per alloggio, recuperato attraverso pagamenti annuali costanti per quarant’anni, con valore residuo nullo. Aggiungiamo 200 euro mensili di gestione e manutenzione. Tutte le cifre sono espresse in termini reali e non comprendono sussidi.</w:t>
      </w:r>
    </w:p>
    <w:tbl>
      <w:tblPr>
        <w:tblW w:type="auto" w:w="0"/>
        <w:tblLayout w:type="fixed"/>
        <w:tblLook w:firstColumn="1" w:firstRow="1" w:lastColumn="0" w:lastRow="0" w:noHBand="0" w:noVBand="1" w:val="04A0"/>
        <w:tblBorders>
          <w:top w:val="single" w:sz="5" w:color="D9D9D9"/>
          <w:left w:val="single" w:sz="5" w:color="D9D9D9"/>
          <w:bottom w:val="single" w:sz="5" w:color="D9D9D9"/>
          <w:right w:val="single" w:sz="5" w:color="D9D9D9"/>
          <w:insideH w:val="single" w:sz="5" w:color="D9D9D9"/>
          <w:insideV w:val="single" w:sz="5" w:color="D9D9D9"/>
        </w:tblBorders>
      </w:tblPr>
      <w:tblGrid>
        <w:gridCol w:w="1701"/>
        <w:gridCol w:w="2268"/>
        <w:gridCol w:w="2721"/>
        <w:gridCol w:w="2721"/>
      </w:tblGrid>
      <w:tr>
        <w:trPr>
          <w:cantSplit/>
          <w:tblHeader/>
        </w:trPr>
        <w:tc>
          <w:tcPr>
            <w:tcW w:type="dxa" w:w="1701"/>
            <w:vAlign w:val="center"/>
            <w:tcMar>
              <w:top w:w="105" w:type="dxa"/>
              <w:left w:w="105" w:type="dxa"/>
              <w:bottom w:w="105" w:type="dxa"/>
              <w:right w:w="105" w:type="dxa"/>
            </w:tcMar>
            <w:shd w:fill="DCE6EF"/>
          </w:tcPr>
          <w:p>
            <w:pPr>
              <w:pStyle w:val="Tablebody"/>
              <w:jc w:val="center"/>
            </w:pPr>
            <w:r>
              <w:rPr>
                <w:b/>
              </w:rPr>
              <w:t>Tasso reale annuo ipotetico</w:t>
            </w:r>
          </w:p>
        </w:tc>
        <w:tc>
          <w:tcPr>
            <w:tcW w:type="dxa" w:w="2268"/>
            <w:vAlign w:val="center"/>
            <w:tcMar>
              <w:top w:w="105" w:type="dxa"/>
              <w:left w:w="105" w:type="dxa"/>
              <w:bottom w:w="105" w:type="dxa"/>
              <w:right w:w="105" w:type="dxa"/>
            </w:tcMar>
            <w:shd w:fill="DCE6EF"/>
          </w:tcPr>
          <w:p>
            <w:pPr>
              <w:pStyle w:val="Tablebody"/>
              <w:jc w:val="center"/>
            </w:pPr>
            <w:r>
              <w:rPr>
                <w:b/>
              </w:rPr>
              <w:t>Recupero del capitale al mese</w:t>
            </w:r>
          </w:p>
        </w:tc>
        <w:tc>
          <w:tcPr>
            <w:tcW w:type="dxa" w:w="2721"/>
            <w:vAlign w:val="center"/>
            <w:tcMar>
              <w:top w:w="105" w:type="dxa"/>
              <w:left w:w="105" w:type="dxa"/>
              <w:bottom w:w="105" w:type="dxa"/>
              <w:right w:w="105" w:type="dxa"/>
            </w:tcMar>
            <w:shd w:fill="DCE6EF"/>
          </w:tcPr>
          <w:p>
            <w:pPr>
              <w:pStyle w:val="Tablebody"/>
              <w:jc w:val="center"/>
            </w:pPr>
            <w:r>
              <w:rPr>
                <w:b/>
              </w:rPr>
              <w:t>Gestione e manutenzione al mese</w:t>
            </w:r>
          </w:p>
        </w:tc>
        <w:tc>
          <w:tcPr>
            <w:tcW w:type="dxa" w:w="2721"/>
            <w:vAlign w:val="center"/>
            <w:tcMar>
              <w:top w:w="105" w:type="dxa"/>
              <w:left w:w="105" w:type="dxa"/>
              <w:bottom w:w="105" w:type="dxa"/>
              <w:right w:w="105" w:type="dxa"/>
            </w:tcMar>
            <w:shd w:fill="DCE6EF"/>
          </w:tcPr>
          <w:p>
            <w:pPr>
              <w:pStyle w:val="Tablebody"/>
              <w:jc w:val="center"/>
            </w:pPr>
            <w:r>
              <w:rPr>
                <w:b/>
              </w:rPr>
              <w:t>Fabbisogno mensile complessivo</w:t>
            </w:r>
          </w:p>
        </w:tc>
      </w:tr>
      <w:tr>
        <w:trPr>
          <w:cantSplit/>
        </w:trPr>
        <w:tc>
          <w:tcPr>
            <w:tcW w:type="dxa" w:w="1701"/>
            <w:vAlign w:val="center"/>
            <w:tcMar>
              <w:top w:w="105" w:type="dxa"/>
              <w:left w:w="105" w:type="dxa"/>
              <w:bottom w:w="105" w:type="dxa"/>
              <w:right w:w="105" w:type="dxa"/>
            </w:tcMar>
            <w:shd w:fill="FFFFFF"/>
          </w:tcPr>
          <w:p>
            <w:pPr>
              <w:pStyle w:val="Tablebody"/>
              <w:jc w:val="center"/>
            </w:pPr>
            <w:r>
              <w:t>2%</w:t>
            </w:r>
          </w:p>
        </w:tc>
        <w:tc>
          <w:tcPr>
            <w:tcW w:type="dxa" w:w="2268"/>
            <w:vAlign w:val="center"/>
            <w:tcMar>
              <w:top w:w="105" w:type="dxa"/>
              <w:left w:w="105" w:type="dxa"/>
              <w:bottom w:w="105" w:type="dxa"/>
              <w:right w:w="105" w:type="dxa"/>
            </w:tcMar>
            <w:shd w:fill="FFFFFF"/>
          </w:tcPr>
          <w:p>
            <w:pPr>
              <w:pStyle w:val="Tablebody"/>
              <w:jc w:val="center"/>
            </w:pPr>
            <w:r>
              <w:t>609 euro</w:t>
            </w:r>
          </w:p>
        </w:tc>
        <w:tc>
          <w:tcPr>
            <w:tcW w:type="dxa" w:w="2721"/>
            <w:vAlign w:val="center"/>
            <w:tcMar>
              <w:top w:w="105" w:type="dxa"/>
              <w:left w:w="105" w:type="dxa"/>
              <w:bottom w:w="105" w:type="dxa"/>
              <w:right w:w="105" w:type="dxa"/>
            </w:tcMar>
            <w:shd w:fill="FFFFFF"/>
          </w:tcPr>
          <w:p>
            <w:pPr>
              <w:pStyle w:val="Tablebody"/>
              <w:jc w:val="center"/>
            </w:pPr>
            <w:r>
              <w:t>200 euro</w:t>
            </w:r>
          </w:p>
        </w:tc>
        <w:tc>
          <w:tcPr>
            <w:tcW w:type="dxa" w:w="2721"/>
            <w:vAlign w:val="center"/>
            <w:tcMar>
              <w:top w:w="105" w:type="dxa"/>
              <w:left w:w="105" w:type="dxa"/>
              <w:bottom w:w="105" w:type="dxa"/>
              <w:right w:w="105" w:type="dxa"/>
            </w:tcMar>
            <w:shd w:fill="FFFFFF"/>
          </w:tcPr>
          <w:p>
            <w:pPr>
              <w:pStyle w:val="Tablebody"/>
              <w:jc w:val="center"/>
            </w:pPr>
            <w:r>
              <w:t>809 euro</w:t>
            </w:r>
          </w:p>
        </w:tc>
      </w:tr>
      <w:tr>
        <w:trPr>
          <w:cantSplit/>
        </w:trPr>
        <w:tc>
          <w:tcPr>
            <w:tcW w:type="dxa" w:w="1701"/>
            <w:vAlign w:val="center"/>
            <w:tcMar>
              <w:top w:w="105" w:type="dxa"/>
              <w:left w:w="105" w:type="dxa"/>
              <w:bottom w:w="105" w:type="dxa"/>
              <w:right w:w="105" w:type="dxa"/>
            </w:tcMar>
            <w:shd w:fill="F6F7F8"/>
          </w:tcPr>
          <w:p>
            <w:pPr>
              <w:pStyle w:val="Tablebody"/>
              <w:jc w:val="center"/>
            </w:pPr>
            <w:r>
              <w:t>4%</w:t>
            </w:r>
          </w:p>
        </w:tc>
        <w:tc>
          <w:tcPr>
            <w:tcW w:type="dxa" w:w="2268"/>
            <w:vAlign w:val="center"/>
            <w:tcMar>
              <w:top w:w="105" w:type="dxa"/>
              <w:left w:w="105" w:type="dxa"/>
              <w:bottom w:w="105" w:type="dxa"/>
              <w:right w:w="105" w:type="dxa"/>
            </w:tcMar>
            <w:shd w:fill="F6F7F8"/>
          </w:tcPr>
          <w:p>
            <w:pPr>
              <w:pStyle w:val="Tablebody"/>
              <w:jc w:val="center"/>
            </w:pPr>
            <w:r>
              <w:t>842 euro</w:t>
            </w:r>
          </w:p>
        </w:tc>
        <w:tc>
          <w:tcPr>
            <w:tcW w:type="dxa" w:w="2721"/>
            <w:vAlign w:val="center"/>
            <w:tcMar>
              <w:top w:w="105" w:type="dxa"/>
              <w:left w:w="105" w:type="dxa"/>
              <w:bottom w:w="105" w:type="dxa"/>
              <w:right w:w="105" w:type="dxa"/>
            </w:tcMar>
            <w:shd w:fill="F6F7F8"/>
          </w:tcPr>
          <w:p>
            <w:pPr>
              <w:pStyle w:val="Tablebody"/>
              <w:jc w:val="center"/>
            </w:pPr>
            <w:r>
              <w:t>200 euro</w:t>
            </w:r>
          </w:p>
        </w:tc>
        <w:tc>
          <w:tcPr>
            <w:tcW w:type="dxa" w:w="2721"/>
            <w:vAlign w:val="center"/>
            <w:tcMar>
              <w:top w:w="105" w:type="dxa"/>
              <w:left w:w="105" w:type="dxa"/>
              <w:bottom w:w="105" w:type="dxa"/>
              <w:right w:w="105" w:type="dxa"/>
            </w:tcMar>
            <w:shd w:fill="F6F7F8"/>
          </w:tcPr>
          <w:p>
            <w:pPr>
              <w:pStyle w:val="Tablebody"/>
              <w:jc w:val="center"/>
            </w:pPr>
            <w:r>
              <w:t>1.042 euro</w:t>
            </w:r>
          </w:p>
        </w:tc>
      </w:tr>
      <w:tr>
        <w:trPr>
          <w:cantSplit/>
        </w:trPr>
        <w:tc>
          <w:tcPr>
            <w:tcW w:type="dxa" w:w="1701"/>
            <w:vAlign w:val="center"/>
            <w:tcMar>
              <w:top w:w="105" w:type="dxa"/>
              <w:left w:w="105" w:type="dxa"/>
              <w:bottom w:w="105" w:type="dxa"/>
              <w:right w:w="105" w:type="dxa"/>
            </w:tcMar>
            <w:shd w:fill="FFFFFF"/>
          </w:tcPr>
          <w:p>
            <w:pPr>
              <w:pStyle w:val="Tablebody"/>
              <w:jc w:val="center"/>
            </w:pPr>
            <w:r>
              <w:t>6%</w:t>
            </w:r>
          </w:p>
        </w:tc>
        <w:tc>
          <w:tcPr>
            <w:tcW w:type="dxa" w:w="2268"/>
            <w:vAlign w:val="center"/>
            <w:tcMar>
              <w:top w:w="105" w:type="dxa"/>
              <w:left w:w="105" w:type="dxa"/>
              <w:bottom w:w="105" w:type="dxa"/>
              <w:right w:w="105" w:type="dxa"/>
            </w:tcMar>
            <w:shd w:fill="FFFFFF"/>
          </w:tcPr>
          <w:p>
            <w:pPr>
              <w:pStyle w:val="Tablebody"/>
              <w:jc w:val="center"/>
            </w:pPr>
            <w:r>
              <w:t>1.108 euro</w:t>
            </w:r>
          </w:p>
        </w:tc>
        <w:tc>
          <w:tcPr>
            <w:tcW w:type="dxa" w:w="2721"/>
            <w:vAlign w:val="center"/>
            <w:tcMar>
              <w:top w:w="105" w:type="dxa"/>
              <w:left w:w="105" w:type="dxa"/>
              <w:bottom w:w="105" w:type="dxa"/>
              <w:right w:w="105" w:type="dxa"/>
            </w:tcMar>
            <w:shd w:fill="FFFFFF"/>
          </w:tcPr>
          <w:p>
            <w:pPr>
              <w:pStyle w:val="Tablebody"/>
              <w:jc w:val="center"/>
            </w:pPr>
            <w:r>
              <w:t>200 euro</w:t>
            </w:r>
          </w:p>
        </w:tc>
        <w:tc>
          <w:tcPr>
            <w:tcW w:type="dxa" w:w="2721"/>
            <w:vAlign w:val="center"/>
            <w:tcMar>
              <w:top w:w="105" w:type="dxa"/>
              <w:left w:w="105" w:type="dxa"/>
              <w:bottom w:w="105" w:type="dxa"/>
              <w:right w:w="105" w:type="dxa"/>
            </w:tcMar>
            <w:shd w:fill="FFFFFF"/>
          </w:tcPr>
          <w:p>
            <w:pPr>
              <w:pStyle w:val="Tablebody"/>
              <w:jc w:val="center"/>
            </w:pPr>
            <w:r>
              <w:t>1.308 euro</w:t>
            </w:r>
          </w:p>
        </w:tc>
      </w:tr>
      <w:tr>
        <w:trPr>
          <w:cantSplit/>
        </w:trPr>
        <w:tc>
          <w:tcPr>
            <w:tcW w:type="dxa" w:w="1701"/>
            <w:vAlign w:val="center"/>
            <w:tcMar>
              <w:top w:w="105" w:type="dxa"/>
              <w:left w:w="105" w:type="dxa"/>
              <w:bottom w:w="105" w:type="dxa"/>
              <w:right w:w="105" w:type="dxa"/>
            </w:tcMar>
            <w:shd w:fill="F6F7F8"/>
          </w:tcPr>
          <w:p>
            <w:pPr>
              <w:pStyle w:val="Tablebody"/>
              <w:jc w:val="center"/>
            </w:pPr>
            <w:r>
              <w:t>8%</w:t>
            </w:r>
          </w:p>
        </w:tc>
        <w:tc>
          <w:tcPr>
            <w:tcW w:type="dxa" w:w="2268"/>
            <w:vAlign w:val="center"/>
            <w:tcMar>
              <w:top w:w="105" w:type="dxa"/>
              <w:left w:w="105" w:type="dxa"/>
              <w:bottom w:w="105" w:type="dxa"/>
              <w:right w:w="105" w:type="dxa"/>
            </w:tcMar>
            <w:shd w:fill="F6F7F8"/>
          </w:tcPr>
          <w:p>
            <w:pPr>
              <w:pStyle w:val="Tablebody"/>
              <w:jc w:val="center"/>
            </w:pPr>
            <w:r>
              <w:t>1.398 euro</w:t>
            </w:r>
          </w:p>
        </w:tc>
        <w:tc>
          <w:tcPr>
            <w:tcW w:type="dxa" w:w="2721"/>
            <w:vAlign w:val="center"/>
            <w:tcMar>
              <w:top w:w="105" w:type="dxa"/>
              <w:left w:w="105" w:type="dxa"/>
              <w:bottom w:w="105" w:type="dxa"/>
              <w:right w:w="105" w:type="dxa"/>
            </w:tcMar>
            <w:shd w:fill="F6F7F8"/>
          </w:tcPr>
          <w:p>
            <w:pPr>
              <w:pStyle w:val="Tablebody"/>
              <w:jc w:val="center"/>
            </w:pPr>
            <w:r>
              <w:t>200 euro</w:t>
            </w:r>
          </w:p>
        </w:tc>
        <w:tc>
          <w:tcPr>
            <w:tcW w:type="dxa" w:w="2721"/>
            <w:vAlign w:val="center"/>
            <w:tcMar>
              <w:top w:w="105" w:type="dxa"/>
              <w:left w:w="105" w:type="dxa"/>
              <w:bottom w:w="105" w:type="dxa"/>
              <w:right w:w="105" w:type="dxa"/>
            </w:tcMar>
            <w:shd w:fill="F6F7F8"/>
          </w:tcPr>
          <w:p>
            <w:pPr>
              <w:pStyle w:val="Tablebody"/>
              <w:jc w:val="center"/>
            </w:pPr>
            <w:r>
              <w:t>1.598 euro</w:t>
            </w:r>
          </w:p>
        </w:tc>
      </w:tr>
    </w:tbl>
    <w:p>
      <w:pPr>
        <w:spacing w:after="0" w:before="0" w:line="180" w:lineRule="exact"/>
      </w:pPr>
      <w:r>
        <w:rPr>
          <w:sz w:val="18"/>
        </w:rPr>
      </w:r>
    </w:p>
    <w:p>
      <w:pPr/>
      <w:r>
        <w:t>Tra il 2% e il 6%, la differenza è di circa 499 euro al mese per la stessa spesa iniziale. Il calcolo illustra la sensibilità agli oneri finanziari; non confronta offerte osservate in Italia, non incorpora differenze di rischio e non stima un canone di mercato. I tassi rappresentano scenari complessivi di recupero del capitale, non rendimenti azionari da applicare all’intero investimento. Fonte: elaborazione aritmetica Synedrion.</w:t>
      </w:r>
    </w:p>
    <w:p>
      <w:pPr/>
      <w:r>
        <w:t>Per determinare i canoni reali serviranno costi delle aree, lavori, tempi, personale, manutenzione straordinaria, morosità, alloggi temporaneamente vuoti e valore residuo. Se il canone sociale è inferiore al fabbisogno, il contributo pubblico deve essere deliberato e finanziato. I benefici dell’accessibilità non devono diventare un pretesto per rinviare manutenzioni o nascondere perdite.</w:t>
      </w:r>
    </w:p>
    <w:p>
      <w:pPr>
        <w:pStyle w:val="Heading1"/>
      </w:pPr>
      <w:r>
        <w:t>Energia reti e trasporti</w:t>
      </w:r>
    </w:p>
    <w:p>
      <w:pPr/>
      <w:r>
        <w:t xml:space="preserve">La struttura finanziaria conta anche per la transizione energetica. Hirth e Steckel mostrano, in un modello del sistema elettrico, che costi del capitale elevati penalizzano le tecnologie a forte investimento iniziale e possono ridurre l’efficacia del prezzo delle emissioni. Il modello usa ipotesi tecnologiche del 2016: il risultato utile per Synedrion riguarda il meccanismo finanziario, non i prezzi o la composizione ottimale del sistema italiano attuale. </w:t>
      </w:r>
      <w:hyperlink r:id="rId26">
        <w:r>
          <w:rPr>
            <w:color w:val="24496A"/>
          </w:rPr>
          <w:t>Hirth e Steckel 2016</w:t>
        </w:r>
      </w:hyperlink>
      <w:r>
        <w:t>.</w:t>
      </w:r>
    </w:p>
    <w:p>
      <w:pPr/>
      <w:r>
        <w:t xml:space="preserve">Synedrion dovrebbe estendere la propria missione energetica con un confronto pubblico tra investimento diretto, partecipazione pubblica, finanziamento agevolato e contratti di lungo periodo. Se una garanzia statale riduce il rischio di un progetto privato, la gara o il contratto deve trasferire una quota verificabile del beneficio a utenti e contribuenti. Occorrono condizioni su prezzi, rifinanziamento e condivisione degli eventuali ricavi eccedenti. </w:t>
      </w:r>
      <w:hyperlink r:id="rId27">
        <w:r>
          <w:rPr>
            <w:color w:val="24496A"/>
          </w:rPr>
          <w:t>Proposte Synedrion per l’energia</w:t>
        </w:r>
      </w:hyperlink>
      <w:r>
        <w:t>.</w:t>
      </w:r>
    </w:p>
    <w:p>
      <w:pPr/>
      <w:r>
        <w:t>Le reti devono essere valutate come sistemi: produzione, accumuli, connessioni e domanda devono svilupparsi in modo coordinato. Per i trasporti il confronto deve comprendere accessibilità, continuità del servizio, emissioni e benefici per gli utenti, oltre agli incassi tariffari. La convenienza di una linea o di un servizio non si esaurisce nell’utile del gestore.</w:t>
      </w:r>
    </w:p>
    <w:p>
      <w:pPr/>
      <w:r>
        <w:t>La proprietà pubblica di una rete e la scelta del suo gestore restano decisioni distinte. Lo Stato deve poter finanziare o controllare un’infrastruttura e scegliere separatamente come costruirla e gestirla. Ogni soluzione deve assicurare manutenzione e standard di servizio. Il regolatore conserva autonomia rispetto alle imprese regolate, comprese quelle partecipate dallo Stato.</w:t>
      </w:r>
    </w:p>
    <w:p>
      <w:pPr>
        <w:pStyle w:val="Heading1"/>
      </w:pPr>
      <w:r>
        <w:t>Investire entro i limiti planetari</w:t>
      </w:r>
    </w:p>
    <w:p>
      <w:pPr/>
      <w:r>
        <w:t xml:space="preserve">Il compito pubblico deve comprendere la tutela delle condizioni ecologiche da cui dipende l’economia. Richardson e colleghi documentavano nel 2023 il superamento di sei dei nove limiti planetari considerati. Il lavoro mostra che il problema comprende, oltre al clima, processi come integrità della biosfera, acqua e cicli dei nutrienti. </w:t>
      </w:r>
      <w:hyperlink r:id="rId28">
        <w:r>
          <w:rPr>
            <w:color w:val="24496A"/>
          </w:rPr>
          <w:t>Richardson e colleghi 2023</w:t>
        </w:r>
      </w:hyperlink>
      <w:r>
        <w:t>.</w:t>
      </w:r>
    </w:p>
    <w:p>
      <w:pPr/>
      <w:r>
        <w:t xml:space="preserve">La ricerca successiva sull’acidificazione oceanica rafforza la necessità di considerare processi diversi dal solo riscaldamento globale. Findlay e colleghi rilevano l’ingresso delle condizioni medie globali del 2020 nella fascia di incertezza del limite e propongono una soglia più prudente. La formulazione conserva l’incertezza scientifica: i limiti non sono tutti soglie nette e identiche. </w:t>
      </w:r>
      <w:hyperlink r:id="rId29">
        <w:r>
          <w:rPr>
            <w:color w:val="24496A"/>
          </w:rPr>
          <w:t>Findlay e colleghi 2025</w:t>
        </w:r>
      </w:hyperlink>
      <w:r>
        <w:t>.</w:t>
      </w:r>
    </w:p>
    <w:p>
      <w:pPr/>
      <w:r>
        <w:t>Da questo quadro Synedrion propone di ricavare una responsabilità politica: finanziare infrastrutture e prevenzione anche quando il beneficiario non può pagare direttamente per il risultato. Adattamento climatico, tutela dei bacini, risanamento del territorio e recupero degli ecosistemi richiedono criteri che riconoscano danni evitati e benefici diffusi.</w:t>
      </w:r>
    </w:p>
    <w:p>
      <w:pPr/>
      <w:r>
        <w:t>Gli investimenti pubblici devono rispettare gli stessi vincoli. Un’opera pubblica può consumare suolo, danneggiare habitat o creare dipendenze tecnologiche durature. La valutazione deve includere emissioni lungo il ciclo di vita, materiali, acqua, suolo e biodiversità, scegliendo indicatori pertinenti al progetto. Un beneficio climatico non compensa automaticamente ogni altro danno ecologico.</w:t>
      </w:r>
    </w:p>
    <w:p>
      <w:pPr/>
      <w:r>
        <w:t>I limiti globali devono essere tradotti in obiettivi nazionali e territoriali con criteri scientifici e deliberazione democratica. Non è corretto ricavare da un singolo studio planetario il bilancio ambientale di un comune o di un’opera. La proposta è incorporare questi vincoli nella pianificazione e confrontare le alternative capaci di rispettarli.</w:t>
      </w:r>
    </w:p>
    <w:p>
      <w:pPr>
        <w:pStyle w:val="Heading1"/>
      </w:pPr>
      <w:r>
        <w:t>La Banca delle Missioni e le imprese pubbliche</w:t>
      </w:r>
    </w:p>
    <w:p>
      <w:pPr/>
      <w:r>
        <w:t xml:space="preserve">La Banca delle Missioni già proposta da Synedrion deve disporre di mandati finanziari differenziati. Mazzucato e Penna offrono una cornice teorica per il ruolo delle banche pubbliche nello sviluppo e nella creazione di mercati orientati a obiettivi collettivi. È una giustificazione istituzionale, non una prova che ogni intervento di una banca pubblica produca benefici. </w:t>
      </w:r>
      <w:hyperlink r:id="rId30">
        <w:r>
          <w:rPr>
            <w:color w:val="24496A"/>
          </w:rPr>
          <w:t>Mazzucato e Penna 2016</w:t>
        </w:r>
      </w:hyperlink>
      <w:r>
        <w:t>.</w:t>
      </w:r>
    </w:p>
    <w:p>
      <w:pPr/>
      <w:r>
        <w:t>Proponiamo tre modalità esplicite. I finanziamenti a iniziative commerciali devono prevedere rimborso e remunerazione coerenti con il rischio, insieme a condizioni pubbliche verificabili. Le infrastrutture sociali possono ricevere prestiti agevolati e contributi deliberati in base ai benefici attesi. Gli interventi senza ricavi sufficienti devono essere finanziati da stanziamenti trasparenti, senza presentarli come prestiti destinati a rimborsarsi integralmente.</w:t>
      </w:r>
    </w:p>
    <w:p>
      <w:pPr/>
      <w:r>
        <w:t>Queste modalità devono avere contabilità distinta, stanziamenti, limiti di rischio e indicatori propri. CDP, Invitalia e SACE possono contribuire secondo i rispettivi mandati, evitando di duplicare strutture. Un vincolo alla redditività aggregata della banca non deve escludere implicitamente progetti sociali che il Parlamento ha deciso di finanziare; la relativa componente di contributo deve però trovare copertura nel bilancio.</w:t>
      </w:r>
    </w:p>
    <w:p>
      <w:pPr/>
      <w:r>
        <w:t>Alle imprese pubbliche vanno assegnati obiettivi di servizio e investimento con responsabilità chiare. Se l’azionista richiede prestazioni sociali che riducono gli incassi, ne deve definire il finanziamento. Nelle società con azionisti di minoranza occorre rispettare diritti e regole societarie: gli obblighi pubblici richiedono strumenti trasparenti, senza scaricare costi opachi sull’impresa.</w:t>
      </w:r>
    </w:p>
    <w:p>
      <w:pPr/>
      <w:r>
        <w:t xml:space="preserve">La governance è parte del risultato. Dinç trova, in un campione di economie emergenti, un aumento del credito delle banche pubbliche negli anni elettorali rispetto alle private. Il contesto non è automaticamente trasferibile all’Italia, ma il rischio documentato giustifica nomine competenti, criteri pubblici di selezione e controlli sulle decisioni. </w:t>
      </w:r>
      <w:hyperlink r:id="rId31">
        <w:r>
          <w:rPr>
            <w:color w:val="24496A"/>
          </w:rPr>
          <w:t>Dinç 2005</w:t>
        </w:r>
      </w:hyperlink>
      <w:r>
        <w:t>.</w:t>
      </w:r>
    </w:p>
    <w:p>
      <w:pPr/>
      <w:r>
        <w:t xml:space="preserve">L’obiettivo proposto è rendere disponibili strumenti pubblici capaci di coordinare e realizzare investimenti aggiuntivi. La recente rassegna di Juhász, Lane e Rodrik trova un quadro più favorevole alle politiche industriali nella nuova ricerca, insistendo sulla dipendenza degli effetti dal contesto e dalla progettazione. Per Synedrion questo sostiene una politica di missione sottoposta a verifica. </w:t>
      </w:r>
      <w:hyperlink r:id="rId32">
        <w:r>
          <w:rPr>
            <w:color w:val="24496A"/>
          </w:rPr>
          <w:t>Juhász e colleghi 2024</w:t>
        </w:r>
      </w:hyperlink>
      <w:r>
        <w:t>.</w:t>
      </w:r>
    </w:p>
    <w:p>
      <w:pPr>
        <w:pStyle w:val="Heading1"/>
      </w:pPr>
      <w:r>
        <w:t>Una regola di confronto per ogni investimento essenziale</w:t>
      </w:r>
    </w:p>
    <w:p>
      <w:pPr/>
      <w:r>
        <w:t>Proponiamo che i grandi investimenti essenziali e i rinnovi delle concessioni siano accompagnati da un confronto pubblico tra alternative concretamente realizzabili. La soglia dimensionale e le modalità semplificate per i progetti minori dovranno essere stabilite nel provvedimento attuativo. Il confronto deve includere almeno una soluzione finanziata pubblicamente, ove praticabile, con qualità e manutenzione equivalenti.</w:t>
      </w:r>
    </w:p>
    <w:p>
      <w:pPr/>
      <w:r>
        <w:t>La valutazione deve indicare:</w:t>
      </w:r>
    </w:p>
    <w:p>
      <w:pPr>
        <w:ind w:left="312" w:hanging="312"/>
      </w:pPr>
      <w:r>
        <w:t>1. Costi dell’intero ciclo di vita, comprese manutenzione, rinnovi, valore residuo e smantellamento quando pertinente.</w:t>
      </w:r>
    </w:p>
    <w:p>
      <w:pPr>
        <w:ind w:left="312" w:hanging="312"/>
      </w:pPr>
      <w:r>
        <w:t>2. Fonti di finanziamento e ripartizione degli oneri tra utenti, contribuenti e investitori.</w:t>
      </w:r>
    </w:p>
    <w:p>
      <w:pPr>
        <w:ind w:left="312" w:hanging="312"/>
      </w:pPr>
      <w:r>
        <w:t>3. Rischi trattenuti da ciascun soggetto, costo delle garanzie e conseguenze di ritardi, fallimenti e rinegoziazioni.</w:t>
      </w:r>
    </w:p>
    <w:p>
      <w:pPr>
        <w:ind w:left="312" w:hanging="312"/>
      </w:pPr>
      <w:r>
        <w:t>4. Qualità, accessibilità e affidabilità del servizio, con effetti distinti per reddito e territorio.</w:t>
      </w:r>
    </w:p>
    <w:p>
      <w:pPr>
        <w:ind w:left="312" w:hanging="312"/>
      </w:pPr>
      <w:r>
        <w:t>5. Benefici e danni sociali ed ecologici aggiuntivi rispetto a uno scenario realistico senza intervento.</w:t>
      </w:r>
    </w:p>
    <w:p>
      <w:pPr>
        <w:ind w:left="312" w:hanging="312"/>
      </w:pPr>
      <w:r>
        <w:t>6. Ipotesi di attualizzazione, inflazione, domanda e costo del capitale, con analisi di sensibilità e correzioni motivate per l’ottimismo delle stime.</w:t>
      </w:r>
    </w:p>
    <w:p>
      <w:pPr>
        <w:ind w:left="312" w:hanging="312"/>
      </w:pPr>
      <w:r>
        <w:t>7. Capacità tecnica di realizzazione e risultati delle valutazioni su interventi comparabili.</w:t>
      </w:r>
    </w:p>
    <w:p>
      <w:pPr>
        <w:ind w:left="312" w:hanging="312"/>
      </w:pPr>
      <w:r>
        <w:t>8. Motivazione della scelta, responsabilità attuative e condizioni per correggere o interrompere il progetto.</w:t>
      </w:r>
    </w:p>
    <w:p>
      <w:pPr/>
      <w:r>
        <w:t>I risparmi finanziari devono essere distinti dalle riduzioni dei costi reali. Imposte, sussidi e trasferimenti vanno trattati coerentemente per evitare doppi conteggi; anche i benefici che si sovrappongono devono essere verificati. Le garanzie non possono essere considerate gratuite e la collocazione contabile di un debito non deve determinare da sola la scelta.</w:t>
      </w:r>
    </w:p>
    <w:p>
      <w:pPr/>
      <w:r>
        <w:t>Nel programma abitativo rimane la scelta già espressa della proprietà e gestione pubbliche. La comparazione serve a misurarne costi, benefici e capacità operativa. Negli altri settori, Synedrion propone proprietà pubblica o controllo pubblico quando risultano necessari per il servizio o preferibili nel confronto complessivo. Eventuali acquisizioni devono includere prezzo, compensazioni dovute e impiego alternativo delle risorse.</w:t>
      </w:r>
    </w:p>
    <w:p>
      <w:pPr>
        <w:pStyle w:val="Heading1"/>
      </w:pPr>
      <w:r>
        <w:t>Capacità pubblica e controllo democratico</w:t>
      </w:r>
    </w:p>
    <w:p>
      <w:pPr/>
      <w:r>
        <w:t>Il finanziamento richiede amministrazioni in grado di usarlo. Proponiamo nuclei tecnici pubblici per progettazione, acquisti, analisi finanziaria e controllo delle opere, accessibili anche agli enti locali più piccoli. Le risorse devono comprendere personale e continuità delle competenze, così che lo Stato possa valutare autonomamente anche le consulenze di cui si avvale.</w:t>
      </w:r>
    </w:p>
    <w:p>
      <w:pPr/>
      <w:r>
        <w:t>Per ciascuna missione devono essere pubblicati responsabile, obiettivi, costi previsti, avanzamento e risultati. Le varianti contrattuali e le rinegoziazioni devono essere motivate. I controlli indipendenti devono verificare tanto gli sprechi quanto il mancato raggiungimento degli standard di servizio. La gestione pubblica deve rispondere anche dei tempi e della qualità percepita dagli utenti.</w:t>
      </w:r>
    </w:p>
    <w:p>
      <w:pPr/>
      <w:r>
        <w:t xml:space="preserve">Il quadro europeo ammette la proprietà pubblica, nel rispetto delle altre regole dei Trattati. Le modalità di finanziamento e affidamento devono essere progettate considerando aiuti di Stato, appalti e disciplina settoriale. Per i servizi di interesse economico generale esiste un quadro specifico sulle compensazioni, aggiornato con la decisione UE 2025/2630, entrata in vigore nel gennaio 2026. L’applicabilità delle condizioni va verificata per ciascun programma. </w:t>
      </w:r>
      <w:hyperlink r:id="rId33">
        <w:r>
          <w:rPr>
            <w:color w:val="24496A"/>
          </w:rPr>
          <w:t>Articolo 345 TFUE</w:t>
        </w:r>
      </w:hyperlink>
      <w:r>
        <w:t xml:space="preserve">; </w:t>
      </w:r>
      <w:hyperlink r:id="rId34">
        <w:r>
          <w:rPr>
            <w:color w:val="24496A"/>
          </w:rPr>
          <w:t>Commissione europea sui SIEG</w:t>
        </w:r>
      </w:hyperlink>
      <w:r>
        <w:t>.</w:t>
      </w:r>
    </w:p>
    <w:p>
      <w:pPr>
        <w:pStyle w:val="Heading1"/>
      </w:pPr>
      <w:r>
        <w:t>Risorse tempi e risultati</w:t>
      </w:r>
    </w:p>
    <w:p>
      <w:pPr/>
      <w:r>
        <w:t>L’attuazione deve iniziare con un programma finanziario pluriennale. Le coperture possono comprendere riallocazioni di spese inefficaci, entrate dedicate deliberate, fondi europei effettivamente disponibili e indebitamento sostenibile. I ricavi futuri possono sostenere debito soltanto nella misura in cui sono plausibili. La quota di benefici sociali priva di incassi richiede risorse di bilancio.</w:t>
      </w:r>
    </w:p>
    <w:p>
      <w:pPr/>
      <w:r>
        <w:t>Lo Stato italiano deve considerare debito, condizioni di finanziamento e impegni europei. Non si può presumere che il costo marginale del finanziamento pubblico rimanga sempre inferiore a ogni alternativa privata. Occorrono scenari avversi sui tassi, sui costi delle opere e sui ricavi. Il costo di non investire deve essere valutato insieme a quello di investire male.</w:t>
      </w:r>
    </w:p>
    <w:p>
      <w:pPr/>
      <w:r>
        <w:t>Proponiamo le seguenti scadenze, decorrenti dall’avvio formale della riforma. Entro dodici mesi il Governo presenta al Parlamento un inventario degli strumenti pubblici, delle principali concessioni e degli impegni finanziari, insieme al metodo di valutazione. Entro ventiquattro mesi avvia programmi dimostrativi nei settori selezionati, con coperture, progetti e responsabilità verificati. Dal terzo anno pubblica una valutazione annuale comparabile dei risultati e delle correzioni necessarie.</w:t>
      </w:r>
    </w:p>
    <w:p>
      <w:pPr/>
      <w:r>
        <w:t>Il cruscotto deve misurare costo del servizio per utente, accessibilità per reddito, affidabilità, patrimonio conservato, costi finanziari, rischio fiscale e impatti ecologici pertinenti. Per la casa mantiene separati alloggi e posti letto, rilevando le eventuali sovrapposizioni. Per la Banca delle Missioni misura anche gli investimenti aggiuntivi e il beneficio pubblico ottenuto, senza assumere che la massimizzazione del capitale privato mobilitato sia l’obiettivo finale.</w:t>
      </w:r>
    </w:p>
    <w:p>
      <w:pPr/>
      <w:r>
        <w:t>Il primo bilancio attuativo deve quantificare risorse, capacità produttiva e tempi di ciascun programma. Non è ancora possibile attribuire a questo insieme di riforme una cifra nazionale di risparmio o una riduzione garantita di canoni e tariffe. La decisione programmatica proposta è rendere nuovamente praticabile l’investimento pubblico diretto e verificarne il contributo al benessere dei cittadini.</w:t>
      </w:r>
    </w:p>
    <w:p>
      <w:pPr>
        <w:pStyle w:val="Heading1"/>
      </w:pPr>
      <w:r>
        <w:t>Nota sulla ricerca</w:t>
      </w:r>
    </w:p>
    <w:p>
      <w:pPr/>
      <w:r>
        <w:t>La base documentale è una rassegna mirata, non una revisione sistematica né una metanalisi originale. Comprende teoria economica, rassegne e metanalisi pubblicate, ricerca abitativa, un rapporto di controllo pubblico e linee guida di valutazione. Le pubblicazioni sono usate per le specifiche affermazioni richiamate; gli sviluppi operativi del capitolo sono proposte Synedrion.</w:t>
      </w:r>
    </w:p>
    <w:p>
      <w:pPr/>
      <w:r>
        <w:t>Sono stati consultati testi integrali o versioni aperte per Arrow e Lind, Baumstark e Gollier, Arrow e colleghi, Hirth e Steckel, il rapporto AHURI, il rapporto NAO, il Green Book e lo studio di Findlay. Per alcuni altri lavori la verifica ha riguardato abstract, pagine degli autori e metadati editoriali: non viene rivendicata una lettura integrale di tutta la bibliografia. Il lavoro abitativo del 2024 è richiamato sulla base dell’abstract editoriale e dei metadati.</w:t>
      </w:r>
    </w:p>
    <w:p>
      <w:pPr/>
      <w:r>
        <w:t>Il sostegno alla tesi è più diretto per la possibilità di ridurre gli oneri di determinate infrastrutture sociali e per la divergenza fra redditività privata e valore sociale. È condizionato per la scelta fra proprietà pubblica e privata, che dipende anche da efficienza, capacità amministrativa, contratti e rischio. Una stima causale aggregata del costo imposto all’intera economia occidentale dal maggiore rendimento richiesto dai privati non è stabilita dalle fonti qui richiamate.</w:t>
      </w:r>
    </w:p>
    <w:p>
      <w:pPr/>
      <w:r>
        <w:t>Gli indicatori di spesa, investimenti e proprietà riferiti a periodi e paesi differenti non possono essere sommati in un unico indice della ritirata dello Stato. Il confronto con la Cina non costituisce di per sé una prova causale. I testi del sito Synedrion, consultati il 7 novembre 2026, documentano la continuità del programma; l’evidenza economica proviene dalle fonti esterne citate. Le scadenze aggiunte nel capitolo sono proposte da deliberare e finanziare.</w:t>
      </w:r>
    </w:p>
    <w:p>
      <w:pPr>
        <w:pStyle w:val="Heading1"/>
        <w:pageBreakBefore/>
      </w:pPr>
      <w:r>
        <w:t>Riferimenti scientifici e istituzionali</w:t>
      </w:r>
    </w:p>
    <w:p>
      <w:pPr>
        <w:pStyle w:val="Reference"/>
        <w:ind w:left="312" w:hanging="312"/>
      </w:pPr>
      <w:r>
        <w:t xml:space="preserve">1. Zohlnhöfer, R., Engler, F. e Dümig, K. (2018). The Retreat of the Interventionist State in Advanced Democracies. British Journal of Political Science, 48(2), 535–562. </w:t>
      </w:r>
      <w:hyperlink r:id="rId12">
        <w:r>
          <w:rPr>
            <w:color w:val="24496A"/>
          </w:rPr>
          <w:t>Articolo e abstract</w:t>
        </w:r>
      </w:hyperlink>
      <w:r>
        <w:t>.</w:t>
      </w:r>
    </w:p>
    <w:p>
      <w:pPr>
        <w:pStyle w:val="Reference"/>
        <w:ind w:left="312" w:hanging="312"/>
      </w:pPr>
      <w:r>
        <w:t xml:space="preserve">2. Arrow, K. J. e Lind, R. C. (1970). Uncertainty and the Evaluation of Public Investment Decisions. American Economic Review, 60(3), 364–378. </w:t>
      </w:r>
      <w:hyperlink r:id="rId14">
        <w:r>
          <w:rPr>
            <w:color w:val="24496A"/>
          </w:rPr>
          <w:t>Riferimento stabile</w:t>
        </w:r>
      </w:hyperlink>
      <w:r>
        <w:t xml:space="preserve">; </w:t>
      </w:r>
      <w:hyperlink r:id="rId35">
        <w:r>
          <w:rPr>
            <w:color w:val="24496A"/>
          </w:rPr>
          <w:t>testo presso IIASA</w:t>
        </w:r>
      </w:hyperlink>
      <w:r>
        <w:t>.</w:t>
      </w:r>
    </w:p>
    <w:p>
      <w:pPr>
        <w:pStyle w:val="Reference"/>
        <w:ind w:left="312" w:hanging="312"/>
      </w:pPr>
      <w:r>
        <w:t xml:space="preserve">3. Baumstark, L. e Gollier, C. (2014). The relevance and the limits of the Arrow-Lind Theorem. Journal of Natural Resources Policy Research. </w:t>
      </w:r>
      <w:hyperlink r:id="rId15">
        <w:r>
          <w:rPr>
            <w:color w:val="24496A"/>
          </w:rPr>
          <w:t>Articolo</w:t>
        </w:r>
      </w:hyperlink>
      <w:r>
        <w:t xml:space="preserve">; </w:t>
      </w:r>
      <w:hyperlink r:id="rId36">
        <w:r>
          <w:rPr>
            <w:color w:val="24496A"/>
          </w:rPr>
          <w:t>versione aperta del 2013</w:t>
        </w:r>
      </w:hyperlink>
      <w:r>
        <w:t>.</w:t>
      </w:r>
    </w:p>
    <w:p>
      <w:pPr>
        <w:pStyle w:val="Reference"/>
        <w:ind w:left="312" w:hanging="312"/>
      </w:pPr>
      <w:r>
        <w:t xml:space="preserve">4. Arrow, K. J. e colleghi (2014). Should Governments Use a Declining Discount Rate in Project Analysis? Review of Environmental Economics and Policy, 8(2), 145–163. </w:t>
      </w:r>
      <w:hyperlink r:id="rId13">
        <w:r>
          <w:rPr>
            <w:color w:val="24496A"/>
          </w:rPr>
          <w:t>Articolo</w:t>
        </w:r>
      </w:hyperlink>
      <w:r>
        <w:t>.</w:t>
      </w:r>
    </w:p>
    <w:p>
      <w:pPr>
        <w:pStyle w:val="Reference"/>
        <w:ind w:left="312" w:hanging="312"/>
      </w:pPr>
      <w:r>
        <w:t xml:space="preserve">5. Hart, O., Shleifer, A. e Vishny, R. W. (1997). The Proper Scope of Government: Theory and an Application to Prisons. Quarterly Journal of Economics, 112(4), 1127–1161. </w:t>
      </w:r>
      <w:hyperlink r:id="rId23">
        <w:r>
          <w:rPr>
            <w:color w:val="24496A"/>
          </w:rPr>
          <w:t>Pagina autore con abstract e testo</w:t>
        </w:r>
      </w:hyperlink>
      <w:r>
        <w:t>.</w:t>
      </w:r>
    </w:p>
    <w:p>
      <w:pPr>
        <w:pStyle w:val="Reference"/>
        <w:ind w:left="312" w:hanging="312"/>
      </w:pPr>
      <w:r>
        <w:t xml:space="preserve">6. Bel, G., Fageda, X. e Warner, M. E. (2010). Is private production of public services cheaper than public production? A meta-regression analysis of solid waste and water services. Journal of Policy Analysis and Management, 29(3), 553–577. </w:t>
      </w:r>
      <w:hyperlink r:id="rId22">
        <w:r>
          <w:rPr>
            <w:color w:val="24496A"/>
          </w:rPr>
          <w:t>Articolo</w:t>
        </w:r>
      </w:hyperlink>
      <w:r>
        <w:t>.</w:t>
      </w:r>
    </w:p>
    <w:p>
      <w:pPr>
        <w:pStyle w:val="Reference"/>
        <w:ind w:left="312" w:hanging="312"/>
      </w:pPr>
      <w:r>
        <w:t xml:space="preserve">7. Megginson, W. L. e Netter, J. M. (2001). From State to Market: A Survey of Empirical Studies on Privatization. Journal of Economic Literature, 39(2), 321–389. </w:t>
      </w:r>
      <w:hyperlink r:id="rId24">
        <w:r>
          <w:rPr>
            <w:color w:val="24496A"/>
          </w:rPr>
          <w:t>Articolo e abstract</w:t>
        </w:r>
      </w:hyperlink>
      <w:r>
        <w:t>.</w:t>
      </w:r>
    </w:p>
    <w:p>
      <w:pPr>
        <w:pStyle w:val="Reference"/>
        <w:ind w:left="312" w:hanging="312"/>
      </w:pPr>
      <w:r>
        <w:t xml:space="preserve">8. Engel, E., Fischer, R. e Galetovic, A. (2010). The economics of infrastructure finance: Public-private partnerships versus public provision. EIB Papers, 15(1), 40–69. </w:t>
      </w:r>
      <w:hyperlink r:id="rId20">
        <w:r>
          <w:rPr>
            <w:color w:val="24496A"/>
          </w:rPr>
          <w:t>Pagina degli autori presso Universidad de Chile</w:t>
        </w:r>
      </w:hyperlink>
      <w:r>
        <w:t>.</w:t>
      </w:r>
    </w:p>
    <w:p>
      <w:pPr>
        <w:pStyle w:val="Reference"/>
        <w:ind w:left="312" w:hanging="312"/>
      </w:pPr>
      <w:r>
        <w:t xml:space="preserve">9. Engel, E., Fischer, R. e Galetovic, A. (2013). The Basic Public Finance of Public-Private Partnerships. Journal of the European Economic Association, 11(1), 83–111. </w:t>
      </w:r>
      <w:hyperlink r:id="rId19">
        <w:r>
          <w:rPr>
            <w:color w:val="24496A"/>
          </w:rPr>
          <w:t>Articolo</w:t>
        </w:r>
      </w:hyperlink>
      <w:r>
        <w:t xml:space="preserve">; </w:t>
      </w:r>
      <w:hyperlink r:id="rId37">
        <w:r>
          <w:rPr>
            <w:color w:val="24496A"/>
          </w:rPr>
          <w:t>versione aperta precedente presso Yale</w:t>
        </w:r>
      </w:hyperlink>
      <w:r>
        <w:t>.</w:t>
      </w:r>
    </w:p>
    <w:p>
      <w:pPr>
        <w:pStyle w:val="Reference"/>
        <w:ind w:left="312" w:hanging="312"/>
      </w:pPr>
      <w:r>
        <w:t xml:space="preserve">10. Lawson, J., Pawson, H., Troy, L., van den Nouwelant, R. e Hamilton, C. (2018). Social housing as infrastructure: an investment pathway. AHURI Final Report 306. </w:t>
      </w:r>
      <w:hyperlink r:id="rId16">
        <w:r>
          <w:rPr>
            <w:color w:val="24496A"/>
          </w:rPr>
          <w:t>Rapporto e sintesi</w:t>
        </w:r>
      </w:hyperlink>
      <w:r>
        <w:t>. Ricerca applicata con modellazione finanziaria.</w:t>
      </w:r>
    </w:p>
    <w:p>
      <w:pPr>
        <w:pStyle w:val="Reference"/>
        <w:ind w:left="312" w:hanging="312"/>
      </w:pPr>
      <w:r>
        <w:t xml:space="preserve">11. Lawson, J., Troy, L. e van den Nouwelant, R. (2024). Social housing as infrastructure and the role of mission driven financing. Housing Studies, 39(2), 398–418. Prima pubblicazione online nel 2022. </w:t>
      </w:r>
      <w:hyperlink r:id="rId17">
        <w:r>
          <w:rPr>
            <w:color w:val="24496A"/>
          </w:rPr>
          <w:t>Articolo</w:t>
        </w:r>
      </w:hyperlink>
      <w:r>
        <w:t>.</w:t>
      </w:r>
    </w:p>
    <w:p>
      <w:pPr>
        <w:pStyle w:val="Reference"/>
        <w:ind w:left="312" w:hanging="312"/>
      </w:pPr>
      <w:r>
        <w:t xml:space="preserve">12. Hirth, L. e Steckel, J. C. (2016). The role of capital costs in decarbonizing the electricity sector. Environmental Research Letters, 11, 114010. </w:t>
      </w:r>
      <w:hyperlink r:id="rId26">
        <w:r>
          <w:rPr>
            <w:color w:val="24496A"/>
          </w:rPr>
          <w:t>Articolo</w:t>
        </w:r>
      </w:hyperlink>
      <w:r>
        <w:t xml:space="preserve">; </w:t>
      </w:r>
      <w:hyperlink r:id="rId38">
        <w:r>
          <w:rPr>
            <w:color w:val="24496A"/>
          </w:rPr>
          <w:t>testo aperto degli autori</w:t>
        </w:r>
      </w:hyperlink>
      <w:r>
        <w:t>.</w:t>
      </w:r>
    </w:p>
    <w:p>
      <w:pPr>
        <w:pStyle w:val="Reference"/>
        <w:ind w:left="312" w:hanging="312"/>
      </w:pPr>
      <w:r>
        <w:t xml:space="preserve">13. Mazzucato, M. e Penna, C. C. R. (2016). Beyond market failures: the market creating and shaping roles of state investment banks. Journal of Economic Policy Reform, 19(4), 305–326. </w:t>
      </w:r>
      <w:hyperlink r:id="rId30">
        <w:r>
          <w:rPr>
            <w:color w:val="24496A"/>
          </w:rPr>
          <w:t>Archivio UCL</w:t>
        </w:r>
      </w:hyperlink>
      <w:r>
        <w:t>.</w:t>
      </w:r>
    </w:p>
    <w:p>
      <w:pPr>
        <w:pStyle w:val="Reference"/>
        <w:ind w:left="312" w:hanging="312"/>
      </w:pPr>
      <w:r>
        <w:t xml:space="preserve">14. Dinç, S. (2005). Politicians and banks: Political influences on government-owned banks in emerging markets. Journal of Financial Economics, 77(2), 453–479. </w:t>
      </w:r>
      <w:hyperlink r:id="rId31">
        <w:r>
          <w:rPr>
            <w:color w:val="24496A"/>
          </w:rPr>
          <w:t>Pagina autore e abstract</w:t>
        </w:r>
      </w:hyperlink>
      <w:r>
        <w:t>.</w:t>
      </w:r>
    </w:p>
    <w:p>
      <w:pPr>
        <w:pStyle w:val="Reference"/>
        <w:ind w:left="312" w:hanging="312"/>
      </w:pPr>
      <w:r>
        <w:t xml:space="preserve">15. Juhász, R., Lane, N. e Rodrik, D. (2024). The New Economics of Industrial Policy. Annual Review of Economics, 16, 213–242. </w:t>
      </w:r>
      <w:hyperlink r:id="rId32">
        <w:r>
          <w:rPr>
            <w:color w:val="24496A"/>
          </w:rPr>
          <w:t>Articolo e abstract</w:t>
        </w:r>
      </w:hyperlink>
      <w:r>
        <w:t>.</w:t>
      </w:r>
    </w:p>
    <w:p>
      <w:pPr>
        <w:pStyle w:val="Reference"/>
        <w:ind w:left="312" w:hanging="312"/>
      </w:pPr>
      <w:r>
        <w:t xml:space="preserve">16. Richardson, K. e colleghi (2023). Earth beyond six of nine planetary boundaries. Science Advances, 9(37), eadh2458. </w:t>
      </w:r>
      <w:hyperlink r:id="rId28">
        <w:r>
          <w:rPr>
            <w:color w:val="24496A"/>
          </w:rPr>
          <w:t>Articolo</w:t>
        </w:r>
      </w:hyperlink>
      <w:r>
        <w:t xml:space="preserve">; </w:t>
      </w:r>
      <w:hyperlink r:id="rId39">
        <w:r>
          <w:rPr>
            <w:color w:val="24496A"/>
          </w:rPr>
          <w:t>abstract PubMed</w:t>
        </w:r>
      </w:hyperlink>
      <w:r>
        <w:t>.</w:t>
      </w:r>
    </w:p>
    <w:p>
      <w:pPr>
        <w:pStyle w:val="Reference"/>
        <w:ind w:left="312" w:hanging="312"/>
      </w:pPr>
      <w:r>
        <w:t xml:space="preserve">17. Findlay, H. S., Feely, R. A., Jiang, L.-Q., Pelletier, G. e Bednaršek, N. (2025). Ocean Acidification: Another Planetary Boundary Crossed. Global Change Biology, 31(6), e70238. </w:t>
      </w:r>
      <w:hyperlink r:id="rId40">
        <w:r>
          <w:rPr>
            <w:color w:val="24496A"/>
          </w:rPr>
          <w:t>Testo integrale</w:t>
        </w:r>
      </w:hyperlink>
      <w:r>
        <w:t>.</w:t>
      </w:r>
    </w:p>
    <w:p>
      <w:pPr>
        <w:pStyle w:val="Reference"/>
        <w:ind w:left="312" w:hanging="312"/>
      </w:pPr>
      <w:r>
        <w:t xml:space="preserve">18. National Audit Office (2018). PFI and PF2. HC 718, sessione 2017–2019. </w:t>
      </w:r>
      <w:hyperlink r:id="rId18">
        <w:r>
          <w:rPr>
            <w:color w:val="24496A"/>
          </w:rPr>
          <w:t>Rapporto</w:t>
        </w:r>
      </w:hyperlink>
      <w:r>
        <w:t>. Fonte di controllo pubblico, distinta dalla letteratura accademica.</w:t>
      </w:r>
    </w:p>
    <w:p>
      <w:pPr>
        <w:pStyle w:val="Reference"/>
        <w:ind w:left="312" w:hanging="312"/>
      </w:pPr>
      <w:r>
        <w:t xml:space="preserve">19. HM Treasury (2026). The Green Book. Aggiornamento del 28 ottobre 2026, in particolare Annex A sui modelli di finanza privata. </w:t>
      </w:r>
      <w:hyperlink r:id="rId21">
        <w:r>
          <w:rPr>
            <w:color w:val="24496A"/>
          </w:rPr>
          <w:t>Linee guida ufficiali</w:t>
        </w:r>
      </w:hyperlink>
      <w:r>
        <w:t>.</w:t>
      </w:r>
    </w:p>
    <w:p>
      <w:pPr>
        <w:pStyle w:val="Reference"/>
        <w:ind w:left="312" w:hanging="312"/>
      </w:pPr>
      <w:r>
        <w:t xml:space="preserve">20. Unione europea. Articolo 345 TFUE; Commissione europea, quadro SIEG e decisione UE 2025/2630. </w:t>
      </w:r>
      <w:hyperlink r:id="rId33">
        <w:r>
          <w:rPr>
            <w:color w:val="24496A"/>
          </w:rPr>
          <w:t>Trattato</w:t>
        </w:r>
      </w:hyperlink>
      <w:r>
        <w:t xml:space="preserve">; </w:t>
      </w:r>
      <w:hyperlink r:id="rId34">
        <w:r>
          <w:rPr>
            <w:color w:val="24496A"/>
          </w:rPr>
          <w:t>quadro aggiornato sulle compensazioni</w:t>
        </w:r>
      </w:hyperlink>
      <w:r>
        <w:t>.</w:t>
      </w:r>
    </w:p>
    <w:sectPr w:rsidR="00FC693F" w:rsidRPr="0006063C" w:rsidSect="00034616">
      <w:footerReference w:type="default" r:id="rId9"/>
      <w:pgSz w:w="11906" w:h="16838"/>
      <w:pgMar w:top="1134" w:right="1247" w:bottom="1247" w:left="1247" w:header="720" w:footer="51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sz w:val="18"/>
      </w:rPr>
      <w:t xml:space="preserve">Synedrion  |  </w:t>
    </w:r>
    <w:fldSimple w:instr="PAGE">
      <w:r>
        <w:rPr>
          <w:sz w:val="18"/>
        </w:rPr>
        <w:t>1</w:t>
      </w:r>
    </w:fldSimpl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widowControl/>
      <w:spacing w:line="269" w:lineRule="auto" w:after="120"/>
    </w:pPr>
    <w:rPr>
      <w:rFonts w:ascii="Calibri" w:hAnsi="Calibri" w:eastAsia="Calibri" w:cs="Calibri"/>
      <w:b w:val="0"/>
      <w:color w:val="000000"/>
      <w:sz w:val="23"/>
      <w:lang w:val="it-IT"/>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80" w:after="120"/>
      <w:outlineLvl w:val="0"/>
    </w:pPr>
    <w:rPr>
      <w:rFonts w:asciiTheme="majorHAnsi" w:eastAsiaTheme="majorEastAsia" w:hAnsiTheme="majorHAnsi" w:cstheme="majorBidi" w:ascii="Calibri" w:hAnsi="Calibri" w:eastAsia="Calibri" w:cs="Calibri"/>
      <w:b/>
      <w:bCs/>
      <w:color w:val="000000"/>
      <w:sz w:val="31"/>
      <w:szCs w:val="28"/>
      <w:lang w:val="it-IT"/>
    </w:rPr>
  </w:style>
  <w:style w:type="paragraph" w:styleId="Heading2">
    <w:name w:val="heading 2"/>
    <w:basedOn w:val="Normal"/>
    <w:next w:val="Normal"/>
    <w:link w:val="Heading2Char"/>
    <w:uiPriority w:val="9"/>
    <w:unhideWhenUsed/>
    <w:qFormat/>
    <w:rsid w:val="00FC693F"/>
    <w:pPr>
      <w:keepNext/>
      <w:keepLines/>
      <w:spacing w:before="200" w:after="120"/>
      <w:outlineLvl w:val="1"/>
    </w:pPr>
    <w:rPr>
      <w:rFonts w:asciiTheme="majorHAnsi" w:eastAsiaTheme="majorEastAsia" w:hAnsiTheme="majorHAnsi" w:cstheme="majorBidi" w:ascii="Calibri" w:hAnsi="Calibri" w:eastAsia="Calibri" w:cs="Calibri"/>
      <w:b/>
      <w:bCs/>
      <w:color w:val="000000"/>
      <w:sz w:val="25"/>
      <w:szCs w:val="26"/>
      <w:lang w:val="it-IT"/>
    </w:rPr>
  </w:style>
  <w:style w:type="paragraph" w:styleId="Heading3">
    <w:name w:val="heading 3"/>
    <w:basedOn w:val="Normal"/>
    <w:next w:val="Normal"/>
    <w:link w:val="Heading3Char"/>
    <w:uiPriority w:val="9"/>
    <w:unhideWhenUsed/>
    <w:qFormat/>
    <w:rsid w:val="00FC693F"/>
    <w:pPr>
      <w:keepNext/>
      <w:keepLines/>
      <w:spacing w:before="200" w:after="120"/>
      <w:outlineLvl w:val="2"/>
    </w:pPr>
    <w:rPr>
      <w:rFonts w:asciiTheme="majorHAnsi" w:eastAsiaTheme="majorEastAsia" w:hAnsiTheme="majorHAnsi" w:cstheme="majorBidi" w:ascii="Calibri" w:hAnsi="Calibri" w:eastAsia="Calibri" w:cs="Calibri"/>
      <w:b/>
      <w:bCs/>
      <w:color w:val="000000"/>
      <w:sz w:val="23"/>
      <w:lang w:val="it-IT"/>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spacing w:after="160" w:line="240" w:lineRule="auto"/>
      <w:contextualSpacing/>
    </w:pPr>
    <w:rPr>
      <w:rFonts w:asciiTheme="majorHAnsi" w:eastAsiaTheme="majorEastAsia" w:hAnsiTheme="majorHAnsi" w:cstheme="majorBidi" w:ascii="Calibri" w:hAnsi="Calibri" w:eastAsia="Calibri" w:cs="Calibri"/>
      <w:b w:val="0"/>
      <w:color w:val="000000"/>
      <w:spacing w:val="5"/>
      <w:kern w:val="28"/>
      <w:sz w:val="50"/>
      <w:szCs w:val="52"/>
      <w:lang w:val="it-IT"/>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keepNext/>
      <w:numPr>
        <w:ilvl w:val="1"/>
      </w:numPr>
      <w:spacing w:after="60"/>
    </w:pPr>
    <w:rPr>
      <w:rFonts w:asciiTheme="majorHAnsi" w:eastAsiaTheme="majorEastAsia" w:hAnsiTheme="majorHAnsi" w:cstheme="majorBidi" w:ascii="Calibri" w:hAnsi="Calibri" w:eastAsia="Calibri" w:cs="Calibri"/>
      <w:b w:val="0"/>
      <w:i/>
      <w:iCs/>
      <w:color w:val="000000"/>
      <w:spacing w:val="15"/>
      <w:sz w:val="24"/>
      <w:szCs w:val="24"/>
      <w:lang w:val="it-IT"/>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Reference">
    <w:name w:val="Reference"/>
    <w:basedOn w:val="Normal"/>
    <w:pPr>
      <w:spacing w:line="252" w:lineRule="auto" w:after="80"/>
    </w:pPr>
    <w:rPr>
      <w:rFonts w:ascii="Calibri" w:hAnsi="Calibri" w:eastAsia="Calibri" w:cs="Calibri"/>
      <w:b w:val="0"/>
      <w:color w:val="000000"/>
      <w:sz w:val="21"/>
      <w:lang w:val="it-IT"/>
    </w:rPr>
  </w:style>
  <w:style w:type="paragraph" w:customStyle="1" w:styleId="Tablebody">
    <w:name w:val="Table body"/>
    <w:basedOn w:val="Normal"/>
    <w:pPr>
      <w:spacing w:line="252" w:lineRule="auto" w:after="0"/>
    </w:pPr>
    <w:rPr>
      <w:rFonts w:ascii="Calibri" w:hAnsi="Calibri" w:eastAsia="Calibri" w:cs="Calibri"/>
      <w:b w:val="0"/>
      <w:color w:val="000000"/>
      <w:sz w:val="21"/>
      <w:lang w:val="it-IT"/>
    </w:rPr>
  </w:style>
  <w:style w:type="paragraph" w:customStyle="1" w:styleId="Leadlabel">
    <w:name w:val="Lead label"/>
    <w:basedOn w:val="Normal"/>
    <w:pPr>
      <w:keepNext/>
      <w:spacing w:before="120" w:after="60"/>
    </w:pPr>
    <w:rPr>
      <w:rFonts w:ascii="Calibri" w:hAnsi="Calibri" w:eastAsia="Calibri" w:cs="Calibri"/>
      <w:b w:val="0"/>
      <w:color w:val="000000"/>
      <w:sz w:val="23"/>
      <w:lang w:val="it-IT"/>
    </w:rPr>
  </w:style>
  <w:style w:type="paragraph" w:customStyle="1" w:styleId="Dateline">
    <w:name w:val="Date line"/>
    <w:basedOn w:val="Normal"/>
    <w:pPr>
      <w:spacing w:after="280"/>
    </w:pPr>
    <w:rPr>
      <w:rFonts w:ascii="Calibri" w:hAnsi="Calibri" w:eastAsia="Calibri" w:cs="Calibri"/>
      <w:b w:val="0"/>
      <w:color w:val="000000"/>
      <w:sz w:val="20"/>
      <w:lang w:val="it-I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hyperlink" Target="https://www.synedrion.it/manifesto/" TargetMode="External"/><Relationship Id="rId11" Type="http://schemas.openxmlformats.org/officeDocument/2006/relationships/hyperlink" Target="https://www.synedrion.it/metodo/" TargetMode="External"/><Relationship Id="rId12" Type="http://schemas.openxmlformats.org/officeDocument/2006/relationships/hyperlink" Target="https://doi.org/10.1017/S0007123416000454" TargetMode="External"/><Relationship Id="rId13" Type="http://schemas.openxmlformats.org/officeDocument/2006/relationships/hyperlink" Target="https://doi.org/10.1093/reep/reu008" TargetMode="External"/><Relationship Id="rId14" Type="http://schemas.openxmlformats.org/officeDocument/2006/relationships/hyperlink" Target="https://www.jstor.org/stable/1817987" TargetMode="External"/><Relationship Id="rId15" Type="http://schemas.openxmlformats.org/officeDocument/2006/relationships/hyperlink" Target="https://doi.org/10.1080/19390459.2013.861160" TargetMode="External"/><Relationship Id="rId16" Type="http://schemas.openxmlformats.org/officeDocument/2006/relationships/hyperlink" Target="https://www.ahuri.edu.au/research/final-reports/306" TargetMode="External"/><Relationship Id="rId17" Type="http://schemas.openxmlformats.org/officeDocument/2006/relationships/hyperlink" Target="https://doi.org/10.1080/02673037.2022.2056152" TargetMode="External"/><Relationship Id="rId18" Type="http://schemas.openxmlformats.org/officeDocument/2006/relationships/hyperlink" Target="https://www.nao.org.uk/reports/pfi-and-pf2/" TargetMode="External"/><Relationship Id="rId19" Type="http://schemas.openxmlformats.org/officeDocument/2006/relationships/hyperlink" Target="https://doi.org/10.1111/j.1542-4774.2012.01105.x" TargetMode="External"/><Relationship Id="rId20" Type="http://schemas.openxmlformats.org/officeDocument/2006/relationships/hyperlink" Target="https://www.cea-uchile.cl/proyecto/the-economics-of-infrastructure-finance-public-private-partnerships-versus-public-provision/" TargetMode="External"/><Relationship Id="rId21" Type="http://schemas.openxmlformats.org/officeDocument/2006/relationships/hyperlink" Target="https://www.gov.uk/government/publications/the-green-book--2/the-green-book-2026" TargetMode="External"/><Relationship Id="rId22" Type="http://schemas.openxmlformats.org/officeDocument/2006/relationships/hyperlink" Target="https://doi.org/10.1002/pam.20509" TargetMode="External"/><Relationship Id="rId23" Type="http://schemas.openxmlformats.org/officeDocument/2006/relationships/hyperlink" Target="https://shleifer.scholars.harvard.edu/publications/proper-scope-government-theory-and-application-prisons" TargetMode="External"/><Relationship Id="rId24" Type="http://schemas.openxmlformats.org/officeDocument/2006/relationships/hyperlink" Target="https://www.aeaweb.org/articles?id=10.1257/jel.39.2.321" TargetMode="External"/><Relationship Id="rId25" Type="http://schemas.openxmlformats.org/officeDocument/2006/relationships/hyperlink" Target="https://www.synedrion.it/problemi-e-soluzioni/casa-politiche-abitative/" TargetMode="External"/><Relationship Id="rId26" Type="http://schemas.openxmlformats.org/officeDocument/2006/relationships/hyperlink" Target="https://doi.org/10.1088/1748-9326/11/11/114010" TargetMode="External"/><Relationship Id="rId27" Type="http://schemas.openxmlformats.org/officeDocument/2006/relationships/hyperlink" Target="https://www.synedrion.it/problemi-e-soluzioni/energia/" TargetMode="External"/><Relationship Id="rId28" Type="http://schemas.openxmlformats.org/officeDocument/2006/relationships/hyperlink" Target="https://doi.org/10.1126/sciadv.adh2458" TargetMode="External"/><Relationship Id="rId29" Type="http://schemas.openxmlformats.org/officeDocument/2006/relationships/hyperlink" Target="https://doi.org/10.1111/gcb.70238" TargetMode="External"/><Relationship Id="rId30" Type="http://schemas.openxmlformats.org/officeDocument/2006/relationships/hyperlink" Target="https://discovery.ucl.ac.uk/id/eprint/10045674/" TargetMode="External"/><Relationship Id="rId31" Type="http://schemas.openxmlformats.org/officeDocument/2006/relationships/hyperlink" Target="https://web.mit.edu/dinc/www/Abstracts/AB%20-%20Dinc%20-%20JFE%202005.html" TargetMode="External"/><Relationship Id="rId32" Type="http://schemas.openxmlformats.org/officeDocument/2006/relationships/hyperlink" Target="https://doi.org/10.1146/annurev-economics-081023-024638" TargetMode="External"/><Relationship Id="rId33" Type="http://schemas.openxmlformats.org/officeDocument/2006/relationships/hyperlink" Target="https://eur-lex.europa.eu/eli/treaty/tfeu_2012/art_345/oj/eng" TargetMode="External"/><Relationship Id="rId34" Type="http://schemas.openxmlformats.org/officeDocument/2006/relationships/hyperlink" Target="https://competition-policy.ec.europa.eu/state-aid/legislation/sgei_en" TargetMode="External"/><Relationship Id="rId35" Type="http://schemas.openxmlformats.org/officeDocument/2006/relationships/hyperlink" Target="https://user.iiasa.ac.at/~hochrain/KIT%202017%20Material/Thema%201%20Arrow%20Lind%20Theorem%20%28Section%202%29.pdf" TargetMode="External"/><Relationship Id="rId36" Type="http://schemas.openxmlformats.org/officeDocument/2006/relationships/hyperlink" Target="https://idei.fr/sites/default/files/medias/doc/by/gollier/Arrow-Gollier.pdf" TargetMode="External"/><Relationship Id="rId37" Type="http://schemas.openxmlformats.org/officeDocument/2006/relationships/hyperlink" Target="https://elischolar.library.yale.edu/cowles-discussion-paper-series/1915/" TargetMode="External"/><Relationship Id="rId38" Type="http://schemas.openxmlformats.org/officeDocument/2006/relationships/hyperlink" Target="https://neon.energy/Hirth-Steckel-2016-Capital-Costs.pdf" TargetMode="External"/><Relationship Id="rId39" Type="http://schemas.openxmlformats.org/officeDocument/2006/relationships/hyperlink" Target="https://pubmed.ncbi.nlm.nih.gov/37703365/" TargetMode="External"/><Relationship Id="rId40" Type="http://schemas.openxmlformats.org/officeDocument/2006/relationships/hyperlink" Target="https://pmc.ncbi.nlm.nih.gov/articles/PMC121470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 Stato come investitore per il benessere collettivo</dc:title>
  <dc:subject>Investimenti pubblici e benessere collettivo</dc:subject>
  <dc:creator>Synedrion</dc:creator>
  <cp:keywords/>
  <dc:description>generated by python-docx</dc:description>
  <cp:lastModifiedBy/>
  <cp:revision>1</cp:revision>
  <dcterms:created xsi:type="dcterms:W3CDTF">2013-12-23T23:15:00Z</dcterms:created>
  <dcterms:modified xsi:type="dcterms:W3CDTF">2013-12-23T23:15:00Z</dcterms:modified>
  <cp:category/>
</cp:coreProperties>
</file>